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4A58F" w14:textId="351A2737" w:rsidR="009F6F26" w:rsidRDefault="00F72E4C" w:rsidP="00F72E4C">
      <w:pPr>
        <w:spacing w:line="480" w:lineRule="auto"/>
        <w:rPr>
          <w:rFonts w:ascii="Times New Roman" w:hAnsi="Times New Roman" w:hint="eastAsia"/>
          <w:sz w:val="24"/>
          <w:szCs w:val="24"/>
        </w:rPr>
      </w:pPr>
      <w:r w:rsidRPr="006D79B7">
        <w:rPr>
          <w:rFonts w:ascii="Times New Roman" w:hAnsi="Times New Roman" w:hint="eastAsia"/>
          <w:b/>
          <w:bCs/>
          <w:sz w:val="24"/>
          <w:szCs w:val="24"/>
        </w:rPr>
        <w:t>Table</w:t>
      </w:r>
      <w:r w:rsidR="00566BB9" w:rsidRPr="006D79B7">
        <w:rPr>
          <w:rFonts w:ascii="Times New Roman" w:hAnsi="Times New Roman" w:hint="eastAsia"/>
          <w:b/>
          <w:bCs/>
          <w:sz w:val="24"/>
          <w:szCs w:val="24"/>
        </w:rPr>
        <w:t xml:space="preserve">1 </w:t>
      </w:r>
      <w:r w:rsidR="006D79B7" w:rsidRPr="006D79B7">
        <w:rPr>
          <w:rFonts w:ascii="Times New Roman" w:hAnsi="Times New Roman" w:hint="eastAsia"/>
          <w:b/>
          <w:bCs/>
          <w:sz w:val="24"/>
          <w:szCs w:val="24"/>
        </w:rPr>
        <w:t>S</w:t>
      </w:r>
      <w:r w:rsidR="006D79B7" w:rsidRPr="006D79B7">
        <w:rPr>
          <w:rFonts w:ascii="Times New Roman" w:hAnsi="Times New Roman" w:hint="eastAsia"/>
          <w:b/>
          <w:bCs/>
          <w:sz w:val="24"/>
          <w:szCs w:val="24"/>
        </w:rPr>
        <w:t>ummary</w:t>
      </w:r>
      <w:r w:rsidR="006D79B7" w:rsidRPr="006D79B7">
        <w:rPr>
          <w:rFonts w:ascii="Times New Roman" w:hAnsi="Times New Roman" w:hint="eastAsia"/>
          <w:b/>
          <w:bCs/>
          <w:sz w:val="24"/>
          <w:szCs w:val="24"/>
        </w:rPr>
        <w:t xml:space="preserve"> of t</w:t>
      </w:r>
      <w:r w:rsidR="006D79B7" w:rsidRPr="006D79B7">
        <w:rPr>
          <w:rFonts w:ascii="Times New Roman" w:hAnsi="Times New Roman" w:hint="eastAsia"/>
          <w:b/>
          <w:bCs/>
          <w:sz w:val="24"/>
          <w:szCs w:val="24"/>
        </w:rPr>
        <w:t xml:space="preserve">he </w:t>
      </w:r>
      <w:r w:rsidR="008F609F">
        <w:rPr>
          <w:rFonts w:ascii="Times New Roman" w:hAnsi="Times New Roman" w:hint="eastAsia"/>
          <w:b/>
          <w:bCs/>
          <w:sz w:val="24"/>
          <w:szCs w:val="24"/>
        </w:rPr>
        <w:t>indications</w:t>
      </w:r>
      <w:r w:rsidR="006D79B7" w:rsidRPr="006D79B7">
        <w:rPr>
          <w:rFonts w:ascii="Times New Roman" w:hAnsi="Times New Roman" w:hint="eastAsia"/>
          <w:b/>
          <w:bCs/>
          <w:sz w:val="24"/>
          <w:szCs w:val="24"/>
        </w:rPr>
        <w:t xml:space="preserve"> for one-stop procedure, devices used during the procedure and postoperative antithrombotic therapy</w:t>
      </w:r>
      <w:r w:rsidR="008F609F">
        <w:rPr>
          <w:rFonts w:ascii="Times New Roman" w:hAnsi="Times New Roman" w:hint="eastAsia"/>
          <w:b/>
          <w:bCs/>
          <w:sz w:val="24"/>
          <w:szCs w:val="24"/>
        </w:rPr>
        <w:t>.</w:t>
      </w:r>
    </w:p>
    <w:tbl>
      <w:tblPr>
        <w:tblW w:w="16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4961"/>
        <w:gridCol w:w="2127"/>
        <w:gridCol w:w="2693"/>
        <w:gridCol w:w="5245"/>
      </w:tblGrid>
      <w:tr w:rsidR="00F72E4C" w:rsidRPr="00F72E4C" w14:paraId="283BFDA3" w14:textId="77777777" w:rsidTr="00923C94">
        <w:trPr>
          <w:trHeight w:val="739"/>
          <w:jc w:val="center"/>
        </w:trPr>
        <w:tc>
          <w:tcPr>
            <w:tcW w:w="1451" w:type="dxa"/>
            <w:shd w:val="clear" w:color="auto" w:fill="auto"/>
            <w:vAlign w:val="center"/>
          </w:tcPr>
          <w:p w14:paraId="67B0283A" w14:textId="77777777" w:rsidR="00F72E4C" w:rsidRPr="00923C94" w:rsidRDefault="00F72E4C" w:rsidP="00F72E4C">
            <w:pPr>
              <w:jc w:val="center"/>
              <w:rPr>
                <w:rFonts w:ascii="Times New Roman" w:hAnsi="Times New Roman"/>
                <w:b/>
                <w:bCs/>
                <w:sz w:val="24"/>
                <w:szCs w:val="24"/>
              </w:rPr>
            </w:pPr>
            <w:r w:rsidRPr="00923C94">
              <w:rPr>
                <w:rFonts w:ascii="Times New Roman" w:hAnsi="Times New Roman" w:hint="eastAsia"/>
                <w:b/>
                <w:bCs/>
                <w:sz w:val="24"/>
                <w:szCs w:val="24"/>
              </w:rPr>
              <w:t>First author (year)</w:t>
            </w:r>
          </w:p>
        </w:tc>
        <w:tc>
          <w:tcPr>
            <w:tcW w:w="4961" w:type="dxa"/>
            <w:shd w:val="clear" w:color="auto" w:fill="auto"/>
            <w:vAlign w:val="center"/>
          </w:tcPr>
          <w:p w14:paraId="6C042BA2" w14:textId="77777777" w:rsidR="00F72E4C" w:rsidRPr="00923C94" w:rsidRDefault="00F72E4C" w:rsidP="00F72E4C">
            <w:pPr>
              <w:jc w:val="center"/>
              <w:rPr>
                <w:rFonts w:ascii="Times New Roman" w:hAnsi="Times New Roman"/>
                <w:b/>
                <w:bCs/>
                <w:sz w:val="24"/>
                <w:szCs w:val="24"/>
              </w:rPr>
            </w:pPr>
            <w:r w:rsidRPr="00923C94">
              <w:rPr>
                <w:rFonts w:ascii="Times New Roman" w:hAnsi="Times New Roman" w:hint="eastAsia"/>
                <w:b/>
                <w:bCs/>
                <w:sz w:val="24"/>
                <w:szCs w:val="24"/>
              </w:rPr>
              <w:t>Indications</w:t>
            </w:r>
          </w:p>
        </w:tc>
        <w:tc>
          <w:tcPr>
            <w:tcW w:w="2127" w:type="dxa"/>
            <w:shd w:val="clear" w:color="auto" w:fill="auto"/>
            <w:vAlign w:val="center"/>
          </w:tcPr>
          <w:p w14:paraId="770ADBA3" w14:textId="77777777" w:rsidR="00F72E4C" w:rsidRPr="00923C94" w:rsidRDefault="00F72E4C" w:rsidP="00F72E4C">
            <w:pPr>
              <w:jc w:val="center"/>
              <w:rPr>
                <w:rFonts w:ascii="Times New Roman" w:hAnsi="Times New Roman"/>
                <w:b/>
                <w:bCs/>
                <w:sz w:val="24"/>
                <w:szCs w:val="24"/>
              </w:rPr>
            </w:pPr>
            <w:r w:rsidRPr="00923C94">
              <w:rPr>
                <w:rFonts w:ascii="Times New Roman" w:hAnsi="Times New Roman" w:hint="eastAsia"/>
                <w:b/>
                <w:bCs/>
                <w:sz w:val="24"/>
                <w:szCs w:val="24"/>
              </w:rPr>
              <w:t>LAAC related devices</w:t>
            </w:r>
          </w:p>
        </w:tc>
        <w:tc>
          <w:tcPr>
            <w:tcW w:w="2693" w:type="dxa"/>
            <w:shd w:val="clear" w:color="auto" w:fill="auto"/>
            <w:vAlign w:val="center"/>
          </w:tcPr>
          <w:p w14:paraId="7698EABB" w14:textId="77777777" w:rsidR="00F72E4C" w:rsidRPr="00923C94" w:rsidRDefault="00F72E4C" w:rsidP="00F72E4C">
            <w:pPr>
              <w:jc w:val="center"/>
              <w:rPr>
                <w:rFonts w:ascii="Times New Roman" w:hAnsi="Times New Roman"/>
                <w:b/>
                <w:bCs/>
                <w:sz w:val="24"/>
                <w:szCs w:val="24"/>
              </w:rPr>
            </w:pPr>
            <w:r w:rsidRPr="00923C94">
              <w:rPr>
                <w:rFonts w:ascii="Times New Roman" w:hAnsi="Times New Roman" w:hint="eastAsia"/>
                <w:b/>
                <w:bCs/>
                <w:sz w:val="24"/>
                <w:szCs w:val="24"/>
              </w:rPr>
              <w:t>PFO related devices</w:t>
            </w:r>
          </w:p>
        </w:tc>
        <w:tc>
          <w:tcPr>
            <w:tcW w:w="5245" w:type="dxa"/>
            <w:shd w:val="clear" w:color="auto" w:fill="auto"/>
            <w:vAlign w:val="center"/>
          </w:tcPr>
          <w:p w14:paraId="63720523" w14:textId="77777777" w:rsidR="00F72E4C" w:rsidRPr="00923C94" w:rsidRDefault="00F72E4C" w:rsidP="00F72E4C">
            <w:pPr>
              <w:jc w:val="center"/>
              <w:rPr>
                <w:rFonts w:ascii="Times New Roman" w:hAnsi="Times New Roman"/>
                <w:b/>
                <w:bCs/>
                <w:sz w:val="24"/>
                <w:szCs w:val="24"/>
              </w:rPr>
            </w:pPr>
            <w:r w:rsidRPr="00923C94">
              <w:rPr>
                <w:rFonts w:ascii="Times New Roman" w:hAnsi="Times New Roman" w:hint="eastAsia"/>
                <w:b/>
                <w:bCs/>
                <w:sz w:val="24"/>
                <w:szCs w:val="24"/>
              </w:rPr>
              <w:t>Postoperative regimen</w:t>
            </w:r>
          </w:p>
        </w:tc>
      </w:tr>
      <w:tr w:rsidR="00F72E4C" w:rsidRPr="00F72E4C" w14:paraId="1FEF6082" w14:textId="77777777" w:rsidTr="00923C94">
        <w:trPr>
          <w:trHeight w:val="711"/>
          <w:jc w:val="center"/>
        </w:trPr>
        <w:tc>
          <w:tcPr>
            <w:tcW w:w="1451" w:type="dxa"/>
            <w:shd w:val="clear" w:color="auto" w:fill="auto"/>
            <w:vAlign w:val="center"/>
          </w:tcPr>
          <w:p w14:paraId="207E1B9A"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Yu (2019)</w:t>
            </w:r>
          </w:p>
        </w:tc>
        <w:tc>
          <w:tcPr>
            <w:tcW w:w="4961" w:type="dxa"/>
            <w:shd w:val="clear" w:color="auto" w:fill="auto"/>
            <w:vAlign w:val="center"/>
          </w:tcPr>
          <w:p w14:paraId="20F59E11"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NVAF patients with </w:t>
            </w:r>
            <w:r w:rsidRPr="00F72E4C">
              <w:rPr>
                <w:rFonts w:ascii="Times New Roman" w:hAnsi="Times New Roman"/>
                <w:sz w:val="24"/>
                <w:szCs w:val="24"/>
              </w:rPr>
              <w:t>contraindication of long</w:t>
            </w:r>
            <w:r w:rsidRPr="00F72E4C">
              <w:rPr>
                <w:rFonts w:ascii="Times New Roman" w:hAnsi="Times New Roman" w:hint="eastAsia"/>
                <w:sz w:val="24"/>
                <w:szCs w:val="24"/>
              </w:rPr>
              <w:t xml:space="preserve"> </w:t>
            </w:r>
            <w:r w:rsidRPr="00F72E4C">
              <w:rPr>
                <w:rFonts w:ascii="Times New Roman" w:hAnsi="Times New Roman"/>
                <w:sz w:val="24"/>
                <w:szCs w:val="24"/>
              </w:rPr>
              <w:t>term OAC</w:t>
            </w:r>
            <w:r w:rsidRPr="00F72E4C">
              <w:rPr>
                <w:rFonts w:ascii="Times New Roman" w:hAnsi="Times New Roman" w:hint="eastAsia"/>
                <w:sz w:val="24"/>
                <w:szCs w:val="24"/>
              </w:rPr>
              <w:t xml:space="preserve"> coexisting with congenital interatrial septal communications (PFO/ASD)</w:t>
            </w:r>
          </w:p>
        </w:tc>
        <w:tc>
          <w:tcPr>
            <w:tcW w:w="2127" w:type="dxa"/>
            <w:shd w:val="clear" w:color="auto" w:fill="auto"/>
            <w:vAlign w:val="center"/>
          </w:tcPr>
          <w:p w14:paraId="09BDB1B8"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Watchman device</w:t>
            </w:r>
          </w:p>
        </w:tc>
        <w:tc>
          <w:tcPr>
            <w:tcW w:w="2693" w:type="dxa"/>
            <w:shd w:val="clear" w:color="auto" w:fill="auto"/>
            <w:vAlign w:val="center"/>
          </w:tcPr>
          <w:p w14:paraId="4D579485" w14:textId="77777777" w:rsidR="00F72E4C" w:rsidRPr="00F72E4C" w:rsidRDefault="00F72E4C" w:rsidP="00C676AF">
            <w:pPr>
              <w:jc w:val="left"/>
              <w:rPr>
                <w:rFonts w:ascii="Times New Roman" w:hAnsi="Times New Roman"/>
                <w:sz w:val="24"/>
                <w:szCs w:val="24"/>
              </w:rPr>
            </w:pPr>
            <w:r w:rsidRPr="00F72E4C">
              <w:rPr>
                <w:rFonts w:ascii="Times New Roman" w:hAnsi="Times New Roman" w:hint="eastAsia"/>
                <w:sz w:val="24"/>
                <w:szCs w:val="24"/>
              </w:rPr>
              <w:t xml:space="preserve">the </w:t>
            </w:r>
            <w:proofErr w:type="spellStart"/>
            <w:r w:rsidRPr="00F72E4C">
              <w:rPr>
                <w:rFonts w:ascii="Times New Roman" w:hAnsi="Times New Roman" w:hint="eastAsia"/>
                <w:sz w:val="24"/>
                <w:szCs w:val="24"/>
              </w:rPr>
              <w:t>Amplatzer</w:t>
            </w:r>
            <w:proofErr w:type="spellEnd"/>
            <w:r w:rsidRPr="00F72E4C">
              <w:rPr>
                <w:rFonts w:ascii="Times New Roman" w:hAnsi="Times New Roman" w:hint="eastAsia"/>
                <w:sz w:val="24"/>
                <w:szCs w:val="24"/>
              </w:rPr>
              <w:t xml:space="preserve"> PFO</w:t>
            </w:r>
            <w:r w:rsidR="00C676AF">
              <w:rPr>
                <w:rFonts w:ascii="Times New Roman" w:hAnsi="Times New Roman" w:hint="eastAsia"/>
                <w:sz w:val="24"/>
                <w:szCs w:val="24"/>
              </w:rPr>
              <w:t xml:space="preserve"> </w:t>
            </w:r>
            <w:r w:rsidRPr="00F72E4C">
              <w:rPr>
                <w:rFonts w:ascii="Times New Roman" w:hAnsi="Times New Roman"/>
                <w:sz w:val="24"/>
                <w:szCs w:val="24"/>
              </w:rPr>
              <w:t>occlude</w:t>
            </w:r>
            <w:r w:rsidRPr="00F72E4C">
              <w:rPr>
                <w:rFonts w:ascii="Times New Roman" w:hAnsi="Times New Roman" w:hint="eastAsia"/>
                <w:sz w:val="24"/>
                <w:szCs w:val="24"/>
              </w:rPr>
              <w:t xml:space="preserve"> or</w:t>
            </w:r>
            <w:r w:rsidR="00C676AF">
              <w:rPr>
                <w:rFonts w:ascii="Times New Roman" w:hAnsi="Times New Roman" w:hint="eastAsia"/>
                <w:sz w:val="24"/>
                <w:szCs w:val="24"/>
              </w:rPr>
              <w:t xml:space="preserve"> </w:t>
            </w:r>
            <w:proofErr w:type="spellStart"/>
            <w:r w:rsidRPr="00F72E4C">
              <w:rPr>
                <w:rFonts w:ascii="Times New Roman" w:hAnsi="Times New Roman" w:hint="eastAsia"/>
                <w:sz w:val="24"/>
                <w:szCs w:val="24"/>
              </w:rPr>
              <w:t>IrisFIT</w:t>
            </w:r>
            <w:proofErr w:type="spellEnd"/>
            <w:r w:rsidR="00C676AF">
              <w:rPr>
                <w:rFonts w:ascii="Times New Roman" w:hAnsi="Times New Roman" w:hint="eastAsia"/>
                <w:sz w:val="24"/>
                <w:szCs w:val="24"/>
              </w:rPr>
              <w:t xml:space="preserve"> </w:t>
            </w:r>
            <w:r w:rsidRPr="00F72E4C">
              <w:rPr>
                <w:rFonts w:ascii="Times New Roman" w:hAnsi="Times New Roman"/>
                <w:sz w:val="24"/>
                <w:szCs w:val="24"/>
              </w:rPr>
              <w:t>occlude</w:t>
            </w:r>
            <w:r w:rsidRPr="00F72E4C">
              <w:rPr>
                <w:rFonts w:ascii="Times New Roman" w:hAnsi="Times New Roman" w:hint="eastAsia"/>
                <w:sz w:val="24"/>
                <w:szCs w:val="24"/>
              </w:rPr>
              <w:t xml:space="preserve"> or </w:t>
            </w:r>
            <w:proofErr w:type="spellStart"/>
            <w:r w:rsidRPr="00F72E4C">
              <w:rPr>
                <w:rFonts w:ascii="Times New Roman" w:hAnsi="Times New Roman" w:hint="eastAsia"/>
                <w:sz w:val="24"/>
                <w:szCs w:val="24"/>
              </w:rPr>
              <w:t>Figulla</w:t>
            </w:r>
            <w:proofErr w:type="spellEnd"/>
            <w:r w:rsidRPr="00F72E4C">
              <w:rPr>
                <w:rFonts w:ascii="Times New Roman" w:hAnsi="Times New Roman" w:hint="eastAsia"/>
                <w:sz w:val="24"/>
                <w:szCs w:val="24"/>
              </w:rPr>
              <w:t xml:space="preserve"> </w:t>
            </w:r>
            <w:proofErr w:type="spellStart"/>
            <w:r w:rsidRPr="00F72E4C">
              <w:rPr>
                <w:rFonts w:ascii="Times New Roman" w:hAnsi="Times New Roman" w:hint="eastAsia"/>
                <w:sz w:val="24"/>
                <w:szCs w:val="24"/>
              </w:rPr>
              <w:t>FlexII</w:t>
            </w:r>
            <w:proofErr w:type="spellEnd"/>
            <w:r w:rsidRPr="00F72E4C">
              <w:rPr>
                <w:rFonts w:ascii="Times New Roman" w:hAnsi="Times New Roman" w:hint="eastAsia"/>
                <w:sz w:val="24"/>
                <w:szCs w:val="24"/>
              </w:rPr>
              <w:t xml:space="preserve"> </w:t>
            </w:r>
            <w:r w:rsidRPr="00F72E4C">
              <w:rPr>
                <w:rFonts w:ascii="Times New Roman" w:hAnsi="Times New Roman"/>
                <w:sz w:val="24"/>
                <w:szCs w:val="24"/>
              </w:rPr>
              <w:t>occlude</w:t>
            </w:r>
            <w:r w:rsidRPr="00F72E4C">
              <w:rPr>
                <w:rFonts w:ascii="Times New Roman" w:hAnsi="Times New Roman" w:hint="eastAsia"/>
                <w:sz w:val="24"/>
                <w:szCs w:val="24"/>
              </w:rPr>
              <w:t xml:space="preserve"> or the </w:t>
            </w:r>
            <w:proofErr w:type="spellStart"/>
            <w:r w:rsidRPr="00F72E4C">
              <w:rPr>
                <w:rFonts w:ascii="Times New Roman" w:hAnsi="Times New Roman" w:hint="eastAsia"/>
                <w:sz w:val="24"/>
                <w:szCs w:val="24"/>
              </w:rPr>
              <w:t>Amplatzer</w:t>
            </w:r>
            <w:proofErr w:type="spellEnd"/>
            <w:r w:rsidRPr="00F72E4C">
              <w:rPr>
                <w:rFonts w:ascii="Times New Roman" w:hAnsi="Times New Roman" w:hint="eastAsia"/>
                <w:sz w:val="24"/>
                <w:szCs w:val="24"/>
              </w:rPr>
              <w:t xml:space="preserve"> ASD </w:t>
            </w:r>
            <w:bookmarkStart w:id="0" w:name="OLE_LINK2"/>
            <w:proofErr w:type="spellStart"/>
            <w:r w:rsidRPr="00F72E4C">
              <w:rPr>
                <w:rFonts w:ascii="Times New Roman" w:hAnsi="Times New Roman" w:hint="eastAsia"/>
                <w:sz w:val="24"/>
                <w:szCs w:val="24"/>
              </w:rPr>
              <w:t>occluder</w:t>
            </w:r>
            <w:bookmarkEnd w:id="0"/>
            <w:proofErr w:type="spellEnd"/>
          </w:p>
        </w:tc>
        <w:tc>
          <w:tcPr>
            <w:tcW w:w="5245" w:type="dxa"/>
            <w:shd w:val="clear" w:color="auto" w:fill="auto"/>
            <w:vAlign w:val="center"/>
          </w:tcPr>
          <w:p w14:paraId="33E98065"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Post-implantation LAAC drug regimen was either Warfarin if no contraindication, or combined enoxaparin with aspirin if contraindication to Warfarin till 45 days. Then the patient was switched to both aspirin and clopidogrel until 6 months and eventually aspirin alone.</w:t>
            </w:r>
          </w:p>
        </w:tc>
      </w:tr>
      <w:tr w:rsidR="00F72E4C" w:rsidRPr="00F72E4C" w14:paraId="431CBB52" w14:textId="77777777" w:rsidTr="00923C94">
        <w:trPr>
          <w:trHeight w:val="739"/>
          <w:jc w:val="center"/>
        </w:trPr>
        <w:tc>
          <w:tcPr>
            <w:tcW w:w="1451" w:type="dxa"/>
            <w:shd w:val="clear" w:color="auto" w:fill="auto"/>
            <w:vAlign w:val="center"/>
          </w:tcPr>
          <w:p w14:paraId="3D562F72"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Zhang (2020)</w:t>
            </w:r>
          </w:p>
        </w:tc>
        <w:tc>
          <w:tcPr>
            <w:tcW w:w="4961" w:type="dxa"/>
            <w:shd w:val="clear" w:color="auto" w:fill="auto"/>
            <w:vAlign w:val="center"/>
          </w:tcPr>
          <w:p w14:paraId="2E67088C"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(1).</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For patients with PFO, they have ischemic stroke, or transient ischemic attack (TIA), or a peripheral thromboembolic event or a large right-to-left </w:t>
            </w:r>
            <w:proofErr w:type="spellStart"/>
            <w:r w:rsidRPr="00F72E4C">
              <w:rPr>
                <w:rFonts w:ascii="Times New Roman" w:hAnsi="Times New Roman" w:hint="eastAsia"/>
                <w:sz w:val="24"/>
                <w:szCs w:val="24"/>
              </w:rPr>
              <w:t>shunt.For</w:t>
            </w:r>
            <w:proofErr w:type="spellEnd"/>
            <w:r w:rsidRPr="00F72E4C">
              <w:rPr>
                <w:rFonts w:ascii="Times New Roman" w:hAnsi="Times New Roman" w:hint="eastAsia"/>
                <w:sz w:val="24"/>
                <w:szCs w:val="24"/>
              </w:rPr>
              <w:t xml:space="preserve"> patients with ASD, TTE show clear indications for ASD occlusion. (2).</w:t>
            </w:r>
            <w:r w:rsidR="00BE1857">
              <w:rPr>
                <w:rFonts w:ascii="Times New Roman" w:hAnsi="Times New Roman" w:hint="eastAsia"/>
                <w:sz w:val="24"/>
                <w:szCs w:val="24"/>
              </w:rPr>
              <w:t xml:space="preserve"> </w:t>
            </w:r>
            <w:r w:rsidRPr="00F72E4C">
              <w:rPr>
                <w:rFonts w:ascii="Times New Roman" w:hAnsi="Times New Roman" w:hint="eastAsia"/>
                <w:sz w:val="24"/>
                <w:szCs w:val="24"/>
              </w:rPr>
              <w:t>TEE show clear indications for LAAC.</w:t>
            </w:r>
            <w:r w:rsidR="00923C94">
              <w:rPr>
                <w:rFonts w:ascii="Times New Roman" w:hAnsi="Times New Roman" w:hint="eastAsia"/>
                <w:sz w:val="24"/>
                <w:szCs w:val="24"/>
              </w:rPr>
              <w:t xml:space="preserve"> </w:t>
            </w:r>
            <w:r w:rsidRPr="00F72E4C">
              <w:rPr>
                <w:rFonts w:ascii="Times New Roman" w:hAnsi="Times New Roman" w:hint="eastAsia"/>
                <w:sz w:val="24"/>
                <w:szCs w:val="24"/>
              </w:rPr>
              <w:t>(3).Non-valvular AF. (4).</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CHA2DS2VASc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 xml:space="preserve">2, and HAS-BLED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 xml:space="preserve">3 or having a contraindication to anticoagulant therapy or unwilling to receive long-term warfarin therapy. </w:t>
            </w:r>
          </w:p>
          <w:p w14:paraId="41BFBE6C"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(5).</w:t>
            </w:r>
            <w:r w:rsidR="00BE1857">
              <w:rPr>
                <w:rFonts w:ascii="Times New Roman" w:hAnsi="Times New Roman" w:hint="eastAsia"/>
                <w:sz w:val="24"/>
                <w:szCs w:val="24"/>
              </w:rPr>
              <w:t xml:space="preserve"> </w:t>
            </w:r>
            <w:r w:rsidRPr="00F72E4C">
              <w:rPr>
                <w:rFonts w:ascii="Times New Roman" w:hAnsi="Times New Roman" w:hint="eastAsia"/>
                <w:sz w:val="24"/>
                <w:szCs w:val="24"/>
              </w:rPr>
              <w:t>Patients were willing to accept the one-stop occlusion.</w:t>
            </w:r>
          </w:p>
        </w:tc>
        <w:tc>
          <w:tcPr>
            <w:tcW w:w="2127" w:type="dxa"/>
            <w:shd w:val="clear" w:color="auto" w:fill="auto"/>
            <w:vAlign w:val="center"/>
          </w:tcPr>
          <w:p w14:paraId="73F90DB9"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Watchman device</w:t>
            </w:r>
          </w:p>
        </w:tc>
        <w:tc>
          <w:tcPr>
            <w:tcW w:w="2693" w:type="dxa"/>
            <w:shd w:val="clear" w:color="auto" w:fill="auto"/>
            <w:vAlign w:val="center"/>
          </w:tcPr>
          <w:p w14:paraId="34905FE7"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Cardi-O-Fix </w:t>
            </w:r>
            <w:proofErr w:type="spellStart"/>
            <w:r w:rsidRPr="00F72E4C">
              <w:rPr>
                <w:rFonts w:ascii="Times New Roman" w:hAnsi="Times New Roman" w:hint="eastAsia"/>
                <w:sz w:val="24"/>
                <w:szCs w:val="24"/>
              </w:rPr>
              <w:t>Occluder</w:t>
            </w:r>
            <w:proofErr w:type="spellEnd"/>
          </w:p>
        </w:tc>
        <w:tc>
          <w:tcPr>
            <w:tcW w:w="5245" w:type="dxa"/>
            <w:shd w:val="clear" w:color="auto" w:fill="auto"/>
            <w:vAlign w:val="center"/>
          </w:tcPr>
          <w:p w14:paraId="21BBF7C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Oral warfarin or Novel Oral Anticoagulants</w:t>
            </w:r>
            <w:r w:rsidR="00C676AF">
              <w:rPr>
                <w:rFonts w:ascii="Times New Roman" w:hAnsi="Times New Roman" w:hint="eastAsia"/>
                <w:sz w:val="24"/>
                <w:szCs w:val="24"/>
              </w:rPr>
              <w:t xml:space="preserve"> </w:t>
            </w:r>
            <w:r w:rsidRPr="00F72E4C">
              <w:rPr>
                <w:rFonts w:ascii="Times New Roman" w:hAnsi="Times New Roman" w:hint="eastAsia"/>
                <w:sz w:val="24"/>
                <w:szCs w:val="24"/>
              </w:rPr>
              <w:t>(NOAC) was administered at 45</w:t>
            </w:r>
            <w:r w:rsidR="00C676AF">
              <w:rPr>
                <w:rFonts w:ascii="Times New Roman" w:hAnsi="Times New Roman" w:hint="eastAsia"/>
                <w:sz w:val="24"/>
                <w:szCs w:val="24"/>
              </w:rPr>
              <w:t>-</w:t>
            </w:r>
            <w:r w:rsidRPr="00F72E4C">
              <w:rPr>
                <w:rFonts w:ascii="Times New Roman" w:hAnsi="Times New Roman" w:hint="eastAsia"/>
                <w:sz w:val="24"/>
                <w:szCs w:val="24"/>
              </w:rPr>
              <w:t>60</w:t>
            </w:r>
            <w:r w:rsidRPr="00F72E4C">
              <w:rPr>
                <w:rFonts w:ascii="Times New Roman" w:hAnsi="Times New Roman" w:hint="eastAsia"/>
                <w:sz w:val="24"/>
                <w:szCs w:val="24"/>
              </w:rPr>
              <w:t> </w:t>
            </w:r>
            <w:r w:rsidRPr="00F72E4C">
              <w:rPr>
                <w:rFonts w:ascii="Times New Roman" w:hAnsi="Times New Roman" w:hint="eastAsia"/>
                <w:sz w:val="24"/>
                <w:szCs w:val="24"/>
              </w:rPr>
              <w:t>days after operation.</w:t>
            </w:r>
            <w:r w:rsidR="00C676AF">
              <w:rPr>
                <w:rFonts w:ascii="Times New Roman" w:hAnsi="Times New Roman" w:hint="eastAsia"/>
                <w:sz w:val="24"/>
                <w:szCs w:val="24"/>
              </w:rPr>
              <w:t xml:space="preserve"> </w:t>
            </w:r>
            <w:r w:rsidRPr="00F72E4C">
              <w:rPr>
                <w:rFonts w:ascii="Times New Roman" w:hAnsi="Times New Roman" w:hint="eastAsia"/>
                <w:sz w:val="24"/>
                <w:szCs w:val="24"/>
              </w:rPr>
              <w:t>If the TEE showed complete closure of the LAA, no device-related thrombus, the patients were then switched to both aspirin and clopidogrel until 6</w:t>
            </w:r>
            <w:r w:rsidRPr="00F72E4C">
              <w:rPr>
                <w:rFonts w:ascii="Times New Roman" w:hAnsi="Times New Roman" w:hint="eastAsia"/>
                <w:sz w:val="24"/>
                <w:szCs w:val="24"/>
              </w:rPr>
              <w:t> </w:t>
            </w:r>
            <w:r w:rsidRPr="00F72E4C">
              <w:rPr>
                <w:rFonts w:ascii="Times New Roman" w:hAnsi="Times New Roman" w:hint="eastAsia"/>
                <w:sz w:val="24"/>
                <w:szCs w:val="24"/>
              </w:rPr>
              <w:t>months. After 6</w:t>
            </w:r>
            <w:r w:rsidRPr="00F72E4C">
              <w:rPr>
                <w:rFonts w:ascii="Times New Roman" w:hAnsi="Times New Roman" w:hint="eastAsia"/>
                <w:sz w:val="24"/>
                <w:szCs w:val="24"/>
              </w:rPr>
              <w:t> </w:t>
            </w:r>
            <w:r w:rsidRPr="00F72E4C">
              <w:rPr>
                <w:rFonts w:ascii="Times New Roman" w:hAnsi="Times New Roman" w:hint="eastAsia"/>
                <w:sz w:val="24"/>
                <w:szCs w:val="24"/>
              </w:rPr>
              <w:t>months, they began taking aspirin tablets (100</w:t>
            </w:r>
            <w:r w:rsidRPr="00F72E4C">
              <w:rPr>
                <w:rFonts w:ascii="Times New Roman" w:hAnsi="Times New Roman" w:hint="eastAsia"/>
                <w:sz w:val="24"/>
                <w:szCs w:val="24"/>
              </w:rPr>
              <w:t> </w:t>
            </w:r>
            <w:r w:rsidRPr="00F72E4C">
              <w:rPr>
                <w:rFonts w:ascii="Times New Roman" w:hAnsi="Times New Roman" w:hint="eastAsia"/>
                <w:sz w:val="24"/>
                <w:szCs w:val="24"/>
              </w:rPr>
              <w:t>mg) once per day.</w:t>
            </w:r>
          </w:p>
        </w:tc>
      </w:tr>
      <w:tr w:rsidR="00F72E4C" w:rsidRPr="00F72E4C" w14:paraId="594A9865" w14:textId="77777777" w:rsidTr="00923C94">
        <w:trPr>
          <w:trHeight w:val="801"/>
          <w:jc w:val="center"/>
        </w:trPr>
        <w:tc>
          <w:tcPr>
            <w:tcW w:w="1451" w:type="dxa"/>
            <w:shd w:val="clear" w:color="auto" w:fill="auto"/>
            <w:vAlign w:val="center"/>
          </w:tcPr>
          <w:p w14:paraId="404B1D91"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Cui (2016)</w:t>
            </w:r>
          </w:p>
        </w:tc>
        <w:tc>
          <w:tcPr>
            <w:tcW w:w="4961" w:type="dxa"/>
            <w:shd w:val="clear" w:color="auto" w:fill="auto"/>
            <w:vAlign w:val="center"/>
          </w:tcPr>
          <w:p w14:paraId="1CBA2948"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Nonvalvular permanent atrial fibrillation patients</w:t>
            </w:r>
            <w:r w:rsidR="00A35D6C">
              <w:rPr>
                <w:rFonts w:ascii="Times New Roman" w:hAnsi="Times New Roman" w:hint="eastAsia"/>
                <w:sz w:val="24"/>
                <w:szCs w:val="24"/>
              </w:rPr>
              <w:t xml:space="preserve"> </w:t>
            </w:r>
            <w:r w:rsidRPr="00F72E4C">
              <w:rPr>
                <w:rFonts w:ascii="Times New Roman" w:hAnsi="Times New Roman" w:hint="eastAsia"/>
                <w:sz w:val="24"/>
                <w:szCs w:val="24"/>
              </w:rPr>
              <w:t xml:space="preserve">with </w:t>
            </w:r>
            <w:r w:rsidRPr="00F72E4C">
              <w:rPr>
                <w:rFonts w:ascii="Times New Roman" w:hAnsi="Times New Roman"/>
                <w:sz w:val="24"/>
                <w:szCs w:val="24"/>
              </w:rPr>
              <w:t xml:space="preserve">contraindication of </w:t>
            </w:r>
            <w:r w:rsidR="00BE1857" w:rsidRPr="00F72E4C">
              <w:rPr>
                <w:rFonts w:ascii="Times New Roman" w:hAnsi="Times New Roman"/>
                <w:sz w:val="24"/>
                <w:szCs w:val="24"/>
              </w:rPr>
              <w:t>long-term</w:t>
            </w:r>
            <w:r w:rsidRPr="00F72E4C">
              <w:rPr>
                <w:rFonts w:ascii="Times New Roman" w:hAnsi="Times New Roman"/>
                <w:sz w:val="24"/>
                <w:szCs w:val="24"/>
              </w:rPr>
              <w:t xml:space="preserve"> </w:t>
            </w:r>
            <w:r w:rsidRPr="00F72E4C">
              <w:rPr>
                <w:rFonts w:ascii="Times New Roman" w:hAnsi="Times New Roman" w:hint="eastAsia"/>
                <w:sz w:val="24"/>
                <w:szCs w:val="24"/>
              </w:rPr>
              <w:t xml:space="preserve">warfarin coexisting with congenital interatrial septal </w:t>
            </w:r>
            <w:r w:rsidRPr="00F72E4C">
              <w:rPr>
                <w:rFonts w:ascii="Times New Roman" w:hAnsi="Times New Roman" w:hint="eastAsia"/>
                <w:sz w:val="24"/>
                <w:szCs w:val="24"/>
              </w:rPr>
              <w:lastRenderedPageBreak/>
              <w:t>communications (PFO/ASD)</w:t>
            </w:r>
          </w:p>
        </w:tc>
        <w:tc>
          <w:tcPr>
            <w:tcW w:w="2127" w:type="dxa"/>
            <w:shd w:val="clear" w:color="auto" w:fill="auto"/>
            <w:vAlign w:val="center"/>
          </w:tcPr>
          <w:p w14:paraId="2CCE6E5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lastRenderedPageBreak/>
              <w:t xml:space="preserve">The </w:t>
            </w:r>
            <w:proofErr w:type="spellStart"/>
            <w:r w:rsidRPr="00F72E4C">
              <w:rPr>
                <w:rFonts w:ascii="Times New Roman" w:hAnsi="Times New Roman" w:hint="eastAsia"/>
                <w:sz w:val="24"/>
                <w:szCs w:val="24"/>
              </w:rPr>
              <w:t>Amplatzer</w:t>
            </w:r>
            <w:proofErr w:type="spellEnd"/>
            <w:r w:rsidRPr="00F72E4C">
              <w:rPr>
                <w:rFonts w:ascii="Times New Roman" w:hAnsi="Times New Roman" w:hint="eastAsia"/>
                <w:sz w:val="24"/>
                <w:szCs w:val="24"/>
              </w:rPr>
              <w:t>™</w:t>
            </w:r>
            <w:r w:rsidRPr="00F72E4C">
              <w:rPr>
                <w:rFonts w:ascii="Times New Roman" w:hAnsi="Times New Roman" w:hint="eastAsia"/>
                <w:sz w:val="24"/>
                <w:szCs w:val="24"/>
              </w:rPr>
              <w:t xml:space="preserve"> Cardiac Plug</w:t>
            </w:r>
          </w:p>
        </w:tc>
        <w:tc>
          <w:tcPr>
            <w:tcW w:w="2693" w:type="dxa"/>
            <w:shd w:val="clear" w:color="auto" w:fill="auto"/>
            <w:vAlign w:val="center"/>
          </w:tcPr>
          <w:p w14:paraId="066B1E5A"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The type of device was not specified</w:t>
            </w:r>
          </w:p>
        </w:tc>
        <w:tc>
          <w:tcPr>
            <w:tcW w:w="5245" w:type="dxa"/>
            <w:shd w:val="clear" w:color="auto" w:fill="auto"/>
            <w:vAlign w:val="center"/>
          </w:tcPr>
          <w:p w14:paraId="56781F0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Patients were given aspirin 100mg and clopidogrel 75mg for 60 days after operation, and aspirin 100mg daily for the rest of their lives</w:t>
            </w:r>
            <w:r w:rsidR="00C676AF">
              <w:rPr>
                <w:rFonts w:ascii="Times New Roman" w:hAnsi="Times New Roman" w:hint="eastAsia"/>
                <w:sz w:val="24"/>
                <w:szCs w:val="24"/>
              </w:rPr>
              <w:t>.</w:t>
            </w:r>
          </w:p>
        </w:tc>
      </w:tr>
      <w:tr w:rsidR="00F72E4C" w:rsidRPr="00F72E4C" w14:paraId="5D480163" w14:textId="77777777" w:rsidTr="00923C94">
        <w:trPr>
          <w:trHeight w:val="739"/>
          <w:jc w:val="center"/>
        </w:trPr>
        <w:tc>
          <w:tcPr>
            <w:tcW w:w="1451" w:type="dxa"/>
            <w:shd w:val="clear" w:color="auto" w:fill="auto"/>
            <w:vAlign w:val="center"/>
          </w:tcPr>
          <w:p w14:paraId="1DC54085"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Wang (2018)</w:t>
            </w:r>
          </w:p>
        </w:tc>
        <w:tc>
          <w:tcPr>
            <w:tcW w:w="4961" w:type="dxa"/>
            <w:shd w:val="clear" w:color="auto" w:fill="auto"/>
            <w:vAlign w:val="center"/>
          </w:tcPr>
          <w:p w14:paraId="3349026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(1).</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Nonvalvular AF patients aged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18 year and the CHA</w:t>
            </w:r>
            <w:r w:rsidRPr="00F72E4C">
              <w:rPr>
                <w:rFonts w:ascii="Times New Roman" w:hAnsi="Times New Roman" w:hint="eastAsia"/>
                <w:sz w:val="24"/>
                <w:szCs w:val="24"/>
                <w:vertAlign w:val="subscript"/>
              </w:rPr>
              <w:t>2</w:t>
            </w:r>
            <w:r w:rsidRPr="00F72E4C">
              <w:rPr>
                <w:rFonts w:ascii="Times New Roman" w:hAnsi="Times New Roman" w:hint="eastAsia"/>
                <w:sz w:val="24"/>
                <w:szCs w:val="24"/>
              </w:rPr>
              <w:t>DS</w:t>
            </w:r>
            <w:r w:rsidRPr="00F72E4C">
              <w:rPr>
                <w:rFonts w:ascii="Times New Roman" w:hAnsi="Times New Roman" w:hint="eastAsia"/>
                <w:sz w:val="24"/>
                <w:szCs w:val="24"/>
                <w:vertAlign w:val="subscript"/>
              </w:rPr>
              <w:t>2</w:t>
            </w:r>
            <w:r w:rsidRPr="00F72E4C">
              <w:rPr>
                <w:rFonts w:ascii="Times New Roman" w:hAnsi="Times New Roman" w:hint="eastAsia"/>
                <w:sz w:val="24"/>
                <w:szCs w:val="24"/>
              </w:rPr>
              <w:t xml:space="preserve">VASc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1.</w:t>
            </w:r>
          </w:p>
          <w:p w14:paraId="12ED622A"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(2).</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Patients with contraindications to warfarin application and HAS-BLED bleeding risk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3.</w:t>
            </w:r>
          </w:p>
          <w:p w14:paraId="37DBA2B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(3).</w:t>
            </w:r>
            <w:r w:rsidR="00BE1857">
              <w:rPr>
                <w:rFonts w:ascii="Times New Roman" w:hAnsi="Times New Roman" w:hint="eastAsia"/>
                <w:sz w:val="24"/>
                <w:szCs w:val="24"/>
              </w:rPr>
              <w:t xml:space="preserve"> </w:t>
            </w:r>
            <w:r w:rsidRPr="00F72E4C">
              <w:rPr>
                <w:rFonts w:ascii="Times New Roman" w:hAnsi="Times New Roman" w:hint="eastAsia"/>
                <w:sz w:val="24"/>
                <w:szCs w:val="24"/>
              </w:rPr>
              <w:t>Patients with congenital ASD/PFO.</w:t>
            </w:r>
          </w:p>
          <w:p w14:paraId="7FFD84C4"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(4).</w:t>
            </w:r>
            <w:r w:rsidR="00BE1857">
              <w:rPr>
                <w:rFonts w:ascii="Times New Roman" w:hAnsi="Times New Roman" w:hint="eastAsia"/>
                <w:sz w:val="24"/>
                <w:szCs w:val="24"/>
              </w:rPr>
              <w:t xml:space="preserve"> </w:t>
            </w:r>
            <w:r w:rsidRPr="00F72E4C">
              <w:rPr>
                <w:rFonts w:ascii="Times New Roman" w:hAnsi="Times New Roman" w:hint="eastAsia"/>
                <w:sz w:val="24"/>
                <w:szCs w:val="24"/>
              </w:rPr>
              <w:t>Aspirin and clopidogrel can be taken orally after operation.</w:t>
            </w:r>
          </w:p>
        </w:tc>
        <w:tc>
          <w:tcPr>
            <w:tcW w:w="2127" w:type="dxa"/>
            <w:shd w:val="clear" w:color="auto" w:fill="auto"/>
            <w:vAlign w:val="center"/>
          </w:tcPr>
          <w:p w14:paraId="3BDB47F1"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The LACBES® </w:t>
            </w:r>
            <w:proofErr w:type="spellStart"/>
            <w:r w:rsidRPr="00F72E4C">
              <w:rPr>
                <w:rFonts w:ascii="Times New Roman" w:hAnsi="Times New Roman" w:hint="eastAsia"/>
                <w:sz w:val="24"/>
                <w:szCs w:val="24"/>
              </w:rPr>
              <w:t>occluder</w:t>
            </w:r>
            <w:proofErr w:type="spellEnd"/>
            <w:r w:rsidRPr="00F72E4C">
              <w:rPr>
                <w:rFonts w:ascii="Times New Roman" w:hAnsi="Times New Roman" w:hint="eastAsia"/>
                <w:sz w:val="24"/>
                <w:szCs w:val="24"/>
              </w:rPr>
              <w:t xml:space="preserve"> or the </w:t>
            </w:r>
            <w:proofErr w:type="spellStart"/>
            <w:r w:rsidRPr="00F72E4C">
              <w:rPr>
                <w:rFonts w:ascii="Times New Roman" w:hAnsi="Times New Roman" w:hint="eastAsia"/>
                <w:sz w:val="24"/>
                <w:szCs w:val="24"/>
              </w:rPr>
              <w:t>Amplatzer</w:t>
            </w:r>
            <w:proofErr w:type="spellEnd"/>
            <w:r w:rsidRPr="00F72E4C">
              <w:rPr>
                <w:rFonts w:ascii="Times New Roman" w:hAnsi="Times New Roman" w:hint="eastAsia"/>
                <w:sz w:val="24"/>
                <w:szCs w:val="24"/>
              </w:rPr>
              <w:t>™</w:t>
            </w:r>
            <w:r w:rsidR="00C676AF">
              <w:rPr>
                <w:rFonts w:ascii="Times New Roman" w:hAnsi="Times New Roman" w:hint="eastAsia"/>
                <w:sz w:val="24"/>
                <w:szCs w:val="24"/>
              </w:rPr>
              <w:t xml:space="preserve"> </w:t>
            </w:r>
            <w:r w:rsidRPr="00F72E4C">
              <w:rPr>
                <w:rFonts w:ascii="Times New Roman" w:hAnsi="Times New Roman" w:hint="eastAsia"/>
                <w:sz w:val="24"/>
                <w:szCs w:val="24"/>
              </w:rPr>
              <w:t>Cardiac Plug</w:t>
            </w:r>
          </w:p>
        </w:tc>
        <w:tc>
          <w:tcPr>
            <w:tcW w:w="2693" w:type="dxa"/>
            <w:shd w:val="clear" w:color="auto" w:fill="auto"/>
            <w:vAlign w:val="center"/>
          </w:tcPr>
          <w:p w14:paraId="6663C26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SHSMA ASD/PFO </w:t>
            </w:r>
            <w:proofErr w:type="spellStart"/>
            <w:r w:rsidRPr="00F72E4C">
              <w:rPr>
                <w:rFonts w:ascii="Times New Roman" w:hAnsi="Times New Roman" w:hint="eastAsia"/>
                <w:sz w:val="24"/>
                <w:szCs w:val="24"/>
              </w:rPr>
              <w:t>occluder</w:t>
            </w:r>
            <w:proofErr w:type="spellEnd"/>
          </w:p>
        </w:tc>
        <w:tc>
          <w:tcPr>
            <w:tcW w:w="5245" w:type="dxa"/>
            <w:shd w:val="clear" w:color="auto" w:fill="auto"/>
            <w:vAlign w:val="center"/>
          </w:tcPr>
          <w:p w14:paraId="1C254801"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Patients were given aspirin 100mg and clopidogrel 75mg for 60 days after operation, and aspirin 100mg daily for the rest of their lives</w:t>
            </w:r>
          </w:p>
        </w:tc>
      </w:tr>
      <w:tr w:rsidR="00F72E4C" w:rsidRPr="00F72E4C" w14:paraId="1EC54DF8" w14:textId="77777777" w:rsidTr="00923C94">
        <w:trPr>
          <w:trHeight w:val="711"/>
          <w:jc w:val="center"/>
        </w:trPr>
        <w:tc>
          <w:tcPr>
            <w:tcW w:w="1451" w:type="dxa"/>
            <w:shd w:val="clear" w:color="auto" w:fill="auto"/>
            <w:vAlign w:val="center"/>
          </w:tcPr>
          <w:p w14:paraId="2E6A278E"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Jiang (2020)</w:t>
            </w:r>
          </w:p>
        </w:tc>
        <w:tc>
          <w:tcPr>
            <w:tcW w:w="4961" w:type="dxa"/>
            <w:shd w:val="clear" w:color="auto" w:fill="auto"/>
            <w:vAlign w:val="center"/>
          </w:tcPr>
          <w:p w14:paraId="397C3E57"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(1).</w:t>
            </w:r>
            <w:r w:rsidR="00BE1857">
              <w:rPr>
                <w:rFonts w:ascii="Times New Roman" w:hAnsi="Times New Roman" w:hint="eastAsia"/>
                <w:sz w:val="24"/>
                <w:szCs w:val="24"/>
              </w:rPr>
              <w:t xml:space="preserve"> </w:t>
            </w:r>
            <w:r w:rsidRPr="00F72E4C">
              <w:rPr>
                <w:rFonts w:ascii="Times New Roman" w:hAnsi="Times New Roman" w:hint="eastAsia"/>
                <w:sz w:val="24"/>
                <w:szCs w:val="24"/>
              </w:rPr>
              <w:t>Secundum atrial septal defect.</w:t>
            </w:r>
          </w:p>
          <w:p w14:paraId="6E705B95"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(2).</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Nonvalvular atrial </w:t>
            </w:r>
            <w:proofErr w:type="spellStart"/>
            <w:r w:rsidRPr="00F72E4C">
              <w:rPr>
                <w:rFonts w:ascii="Times New Roman" w:hAnsi="Times New Roman" w:hint="eastAsia"/>
                <w:sz w:val="24"/>
                <w:szCs w:val="24"/>
              </w:rPr>
              <w:t>fibrillatio</w:t>
            </w:r>
            <w:proofErr w:type="spellEnd"/>
            <w:r w:rsidRPr="00F72E4C">
              <w:rPr>
                <w:rFonts w:ascii="Times New Roman" w:hAnsi="Times New Roman" w:hint="eastAsia"/>
                <w:sz w:val="24"/>
                <w:szCs w:val="24"/>
              </w:rPr>
              <w:t xml:space="preserve"> and the duration of atrial fibrillation more than 1 year.</w:t>
            </w:r>
          </w:p>
          <w:p w14:paraId="67764402"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(3). Age &gt;18 years old.</w:t>
            </w:r>
          </w:p>
          <w:p w14:paraId="3F1BFBAF"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(4).</w:t>
            </w:r>
            <w:r w:rsidR="00BE1857">
              <w:rPr>
                <w:rFonts w:ascii="Times New Roman" w:hAnsi="Times New Roman" w:hint="eastAsia"/>
                <w:sz w:val="24"/>
                <w:szCs w:val="24"/>
              </w:rPr>
              <w:t xml:space="preserve"> </w:t>
            </w:r>
            <w:r w:rsidRPr="00F72E4C">
              <w:rPr>
                <w:rFonts w:ascii="Times New Roman" w:hAnsi="Times New Roman" w:hint="eastAsia"/>
                <w:sz w:val="24"/>
                <w:szCs w:val="24"/>
              </w:rPr>
              <w:t>CHA</w:t>
            </w:r>
            <w:r w:rsidRPr="00F72E4C">
              <w:rPr>
                <w:rFonts w:ascii="Times New Roman" w:hAnsi="Times New Roman" w:hint="eastAsia"/>
                <w:sz w:val="24"/>
                <w:szCs w:val="24"/>
                <w:vertAlign w:val="subscript"/>
              </w:rPr>
              <w:t>2</w:t>
            </w:r>
            <w:r w:rsidRPr="00F72E4C">
              <w:rPr>
                <w:rFonts w:ascii="Times New Roman" w:hAnsi="Times New Roman" w:hint="eastAsia"/>
                <w:sz w:val="24"/>
                <w:szCs w:val="24"/>
              </w:rPr>
              <w:t>DS</w:t>
            </w:r>
            <w:r w:rsidRPr="00F72E4C">
              <w:rPr>
                <w:rFonts w:ascii="Times New Roman" w:hAnsi="Times New Roman" w:hint="eastAsia"/>
                <w:sz w:val="24"/>
                <w:szCs w:val="24"/>
                <w:vertAlign w:val="subscript"/>
              </w:rPr>
              <w:t>2</w:t>
            </w:r>
            <w:r w:rsidRPr="00F72E4C">
              <w:rPr>
                <w:rFonts w:ascii="Times New Roman" w:hAnsi="Times New Roman" w:hint="eastAsia"/>
                <w:sz w:val="24"/>
                <w:szCs w:val="24"/>
              </w:rPr>
              <w:t xml:space="preserve">-VASc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2.</w:t>
            </w:r>
          </w:p>
        </w:tc>
        <w:tc>
          <w:tcPr>
            <w:tcW w:w="2127" w:type="dxa"/>
            <w:shd w:val="clear" w:color="auto" w:fill="auto"/>
            <w:vAlign w:val="center"/>
          </w:tcPr>
          <w:p w14:paraId="2F934530"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Watchman device</w:t>
            </w:r>
          </w:p>
        </w:tc>
        <w:tc>
          <w:tcPr>
            <w:tcW w:w="2693" w:type="dxa"/>
            <w:shd w:val="clear" w:color="auto" w:fill="auto"/>
            <w:vAlign w:val="center"/>
          </w:tcPr>
          <w:p w14:paraId="3FD20965"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The type of device was not specified</w:t>
            </w:r>
          </w:p>
        </w:tc>
        <w:tc>
          <w:tcPr>
            <w:tcW w:w="5245" w:type="dxa"/>
            <w:shd w:val="clear" w:color="auto" w:fill="auto"/>
            <w:vAlign w:val="center"/>
          </w:tcPr>
          <w:p w14:paraId="77BF420D"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Patients were given rivaroxaban till 45 days</w:t>
            </w:r>
          </w:p>
          <w:p w14:paraId="7F55EF2B"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Then the patient was switched to both aspirin and clopidogrel until 6 months and eventually aspirin alone.</w:t>
            </w:r>
          </w:p>
        </w:tc>
      </w:tr>
      <w:tr w:rsidR="00F72E4C" w:rsidRPr="00F72E4C" w14:paraId="12BB8F81" w14:textId="77777777" w:rsidTr="00923C94">
        <w:trPr>
          <w:trHeight w:val="739"/>
          <w:jc w:val="center"/>
        </w:trPr>
        <w:tc>
          <w:tcPr>
            <w:tcW w:w="1451" w:type="dxa"/>
            <w:shd w:val="clear" w:color="auto" w:fill="auto"/>
            <w:vAlign w:val="center"/>
          </w:tcPr>
          <w:p w14:paraId="124CD4A0"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Zhao (2022)</w:t>
            </w:r>
          </w:p>
        </w:tc>
        <w:tc>
          <w:tcPr>
            <w:tcW w:w="4961" w:type="dxa"/>
            <w:shd w:val="clear" w:color="auto" w:fill="auto"/>
            <w:vAlign w:val="center"/>
          </w:tcPr>
          <w:p w14:paraId="2885B41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(1).</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Age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18 years old.</w:t>
            </w:r>
          </w:p>
          <w:p w14:paraId="2C5A0E5A"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(2).</w:t>
            </w:r>
            <w:r w:rsidR="00BE1857">
              <w:rPr>
                <w:rFonts w:ascii="Times New Roman" w:hAnsi="Times New Roman" w:hint="eastAsia"/>
                <w:sz w:val="24"/>
                <w:szCs w:val="24"/>
              </w:rPr>
              <w:t xml:space="preserve"> </w:t>
            </w:r>
            <w:r w:rsidRPr="00F72E4C">
              <w:rPr>
                <w:rFonts w:ascii="Times New Roman" w:hAnsi="Times New Roman" w:hint="eastAsia"/>
                <w:sz w:val="24"/>
                <w:szCs w:val="24"/>
              </w:rPr>
              <w:t>Meeting the diagnostic criteria for atrial fibrillation.</w:t>
            </w:r>
          </w:p>
          <w:p w14:paraId="15E5572F"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(3).</w:t>
            </w:r>
            <w:r w:rsidR="00BE1857">
              <w:rPr>
                <w:rFonts w:ascii="Times New Roman" w:hAnsi="Times New Roman" w:hint="eastAsia"/>
                <w:sz w:val="24"/>
                <w:szCs w:val="24"/>
              </w:rPr>
              <w:t xml:space="preserve"> </w:t>
            </w:r>
            <w:r w:rsidRPr="00F72E4C">
              <w:rPr>
                <w:rFonts w:ascii="Times New Roman" w:hAnsi="Times New Roman" w:hint="eastAsia"/>
                <w:sz w:val="24"/>
                <w:szCs w:val="24"/>
              </w:rPr>
              <w:t>Meeting the diagnostic criteria of PFO.</w:t>
            </w:r>
          </w:p>
          <w:p w14:paraId="1A4E5A4D"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(4).</w:t>
            </w:r>
            <w:r w:rsidR="00BE1857">
              <w:rPr>
                <w:rFonts w:ascii="Times New Roman" w:hAnsi="Times New Roman" w:hint="eastAsia"/>
                <w:sz w:val="24"/>
                <w:szCs w:val="24"/>
              </w:rPr>
              <w:t xml:space="preserve"> </w:t>
            </w:r>
            <w:r w:rsidRPr="00F72E4C">
              <w:rPr>
                <w:rFonts w:ascii="Times New Roman" w:hAnsi="Times New Roman" w:hint="eastAsia"/>
                <w:sz w:val="24"/>
                <w:szCs w:val="24"/>
              </w:rPr>
              <w:t>The patient met the indication of left atrial appendage occlusion.</w:t>
            </w:r>
          </w:p>
        </w:tc>
        <w:tc>
          <w:tcPr>
            <w:tcW w:w="2127" w:type="dxa"/>
            <w:shd w:val="clear" w:color="auto" w:fill="auto"/>
            <w:vAlign w:val="center"/>
          </w:tcPr>
          <w:p w14:paraId="4AEB069A"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Watchman device or </w:t>
            </w:r>
            <w:r w:rsidR="00BE1857">
              <w:rPr>
                <w:rFonts w:ascii="Times New Roman" w:hAnsi="Times New Roman" w:hint="eastAsia"/>
                <w:sz w:val="24"/>
                <w:szCs w:val="24"/>
              </w:rPr>
              <w:t>t</w:t>
            </w:r>
            <w:r w:rsidRPr="00F72E4C">
              <w:rPr>
                <w:rFonts w:ascii="Times New Roman" w:hAnsi="Times New Roman" w:hint="eastAsia"/>
                <w:sz w:val="24"/>
                <w:szCs w:val="24"/>
              </w:rPr>
              <w:t xml:space="preserve">he LACBES® </w:t>
            </w:r>
            <w:proofErr w:type="spellStart"/>
            <w:r w:rsidRPr="00F72E4C">
              <w:rPr>
                <w:rFonts w:ascii="Times New Roman" w:hAnsi="Times New Roman" w:hint="eastAsia"/>
                <w:sz w:val="24"/>
                <w:szCs w:val="24"/>
              </w:rPr>
              <w:t>occluder</w:t>
            </w:r>
            <w:proofErr w:type="spellEnd"/>
            <w:r w:rsidRPr="00F72E4C">
              <w:rPr>
                <w:rFonts w:ascii="Times New Roman" w:hAnsi="Times New Roman" w:hint="eastAsia"/>
                <w:sz w:val="24"/>
                <w:szCs w:val="24"/>
              </w:rPr>
              <w:t xml:space="preserve"> or</w:t>
            </w:r>
            <w:r w:rsidR="00C676AF">
              <w:rPr>
                <w:rFonts w:ascii="Times New Roman" w:hAnsi="Times New Roman" w:hint="eastAsia"/>
                <w:sz w:val="24"/>
                <w:szCs w:val="24"/>
              </w:rPr>
              <w:t xml:space="preserve"> </w:t>
            </w:r>
            <w:proofErr w:type="spellStart"/>
            <w:r w:rsidRPr="00F72E4C">
              <w:rPr>
                <w:rFonts w:ascii="Times New Roman" w:hAnsi="Times New Roman" w:hint="eastAsia"/>
                <w:sz w:val="24"/>
                <w:szCs w:val="24"/>
              </w:rPr>
              <w:t>LAmbre</w:t>
            </w:r>
            <w:proofErr w:type="spellEnd"/>
            <w:r w:rsidRPr="00F72E4C">
              <w:rPr>
                <w:rFonts w:ascii="Times New Roman" w:hAnsi="Times New Roman" w:hint="eastAsia"/>
                <w:sz w:val="24"/>
                <w:szCs w:val="24"/>
              </w:rPr>
              <w:t xml:space="preserve"> device </w:t>
            </w:r>
          </w:p>
        </w:tc>
        <w:tc>
          <w:tcPr>
            <w:tcW w:w="2693" w:type="dxa"/>
            <w:shd w:val="clear" w:color="auto" w:fill="auto"/>
            <w:vAlign w:val="center"/>
          </w:tcPr>
          <w:p w14:paraId="3569187D"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 xml:space="preserve">Cardi-O-Fix </w:t>
            </w:r>
            <w:proofErr w:type="spellStart"/>
            <w:r w:rsidRPr="00F72E4C">
              <w:rPr>
                <w:rFonts w:ascii="Times New Roman" w:hAnsi="Times New Roman" w:hint="eastAsia"/>
                <w:sz w:val="24"/>
                <w:szCs w:val="24"/>
              </w:rPr>
              <w:t>Occluder</w:t>
            </w:r>
            <w:proofErr w:type="spellEnd"/>
            <w:r w:rsidRPr="00F72E4C">
              <w:rPr>
                <w:rFonts w:ascii="Times New Roman" w:hAnsi="Times New Roman" w:hint="eastAsia"/>
                <w:sz w:val="24"/>
                <w:szCs w:val="24"/>
              </w:rPr>
              <w:t xml:space="preserve"> or </w:t>
            </w:r>
            <w:proofErr w:type="spellStart"/>
            <w:r w:rsidRPr="00F72E4C">
              <w:rPr>
                <w:rFonts w:ascii="Times New Roman" w:hAnsi="Times New Roman" w:hint="eastAsia"/>
                <w:sz w:val="24"/>
                <w:szCs w:val="24"/>
              </w:rPr>
              <w:t>MemoSorb</w:t>
            </w:r>
            <w:proofErr w:type="spellEnd"/>
          </w:p>
        </w:tc>
        <w:tc>
          <w:tcPr>
            <w:tcW w:w="5245" w:type="dxa"/>
            <w:shd w:val="clear" w:color="auto" w:fill="auto"/>
            <w:vAlign w:val="center"/>
          </w:tcPr>
          <w:p w14:paraId="1BDD4562" w14:textId="746C72E8" w:rsidR="00F72E4C" w:rsidRPr="00F72E4C" w:rsidRDefault="00BF2DAF" w:rsidP="00A35D6C">
            <w:pPr>
              <w:jc w:val="left"/>
              <w:rPr>
                <w:rFonts w:ascii="Times New Roman" w:hAnsi="Times New Roman"/>
                <w:sz w:val="24"/>
                <w:szCs w:val="24"/>
              </w:rPr>
            </w:pPr>
            <w:r w:rsidRPr="00BF2DAF">
              <w:rPr>
                <w:rFonts w:ascii="Times New Roman" w:hAnsi="Times New Roman" w:hint="eastAsia"/>
                <w:sz w:val="24"/>
                <w:szCs w:val="24"/>
              </w:rPr>
              <w:t>Anticoagulation and antiplatelet therapy during perioperative period and after discharge were performed according to Chinese expert consensus on left atrial appendage closure to prevent stroke in patients with atrial fibrillation (2019)</w:t>
            </w:r>
            <w:r>
              <w:rPr>
                <w:rFonts w:ascii="Times New Roman" w:hAnsi="Times New Roman" w:hint="eastAsia"/>
                <w:sz w:val="24"/>
                <w:szCs w:val="24"/>
              </w:rPr>
              <w:t>.</w:t>
            </w:r>
          </w:p>
        </w:tc>
      </w:tr>
      <w:tr w:rsidR="00F72E4C" w:rsidRPr="00F72E4C" w14:paraId="54B43876" w14:textId="77777777" w:rsidTr="00923C94">
        <w:trPr>
          <w:trHeight w:val="739"/>
          <w:jc w:val="center"/>
        </w:trPr>
        <w:tc>
          <w:tcPr>
            <w:tcW w:w="1451" w:type="dxa"/>
            <w:shd w:val="clear" w:color="auto" w:fill="auto"/>
            <w:vAlign w:val="center"/>
          </w:tcPr>
          <w:p w14:paraId="407D059B" w14:textId="77777777" w:rsidR="00F72E4C" w:rsidRPr="00F72E4C" w:rsidRDefault="00F72E4C" w:rsidP="00F72E4C">
            <w:pPr>
              <w:jc w:val="center"/>
              <w:rPr>
                <w:rFonts w:ascii="Times New Roman" w:hAnsi="Times New Roman"/>
                <w:sz w:val="24"/>
                <w:szCs w:val="24"/>
              </w:rPr>
            </w:pPr>
            <w:r w:rsidRPr="00F72E4C">
              <w:rPr>
                <w:rFonts w:ascii="Times New Roman" w:hAnsi="Times New Roman" w:hint="eastAsia"/>
                <w:sz w:val="24"/>
                <w:szCs w:val="24"/>
              </w:rPr>
              <w:t>Fan (2023)</w:t>
            </w:r>
          </w:p>
        </w:tc>
        <w:tc>
          <w:tcPr>
            <w:tcW w:w="4961" w:type="dxa"/>
            <w:shd w:val="clear" w:color="auto" w:fill="auto"/>
            <w:vAlign w:val="center"/>
          </w:tcPr>
          <w:p w14:paraId="174CD890"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(1).</w:t>
            </w:r>
            <w:r w:rsidR="00BE1857">
              <w:rPr>
                <w:rFonts w:ascii="Times New Roman" w:hAnsi="Times New Roman" w:hint="eastAsia"/>
                <w:sz w:val="24"/>
                <w:szCs w:val="24"/>
              </w:rPr>
              <w:t xml:space="preserve"> </w:t>
            </w:r>
            <w:r w:rsidRPr="00F72E4C">
              <w:rPr>
                <w:rFonts w:ascii="Times New Roman" w:hAnsi="Times New Roman" w:hint="eastAsia"/>
                <w:sz w:val="24"/>
                <w:szCs w:val="24"/>
              </w:rPr>
              <w:t>Non-valvular persistent atrial fibrillation, onset time of atrial fibrillation &gt; 3 months;</w:t>
            </w:r>
          </w:p>
          <w:p w14:paraId="7A1CCA33"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(2).</w:t>
            </w:r>
            <w:r w:rsidR="00BE1857">
              <w:rPr>
                <w:rFonts w:ascii="Times New Roman" w:hAnsi="Times New Roman" w:hint="eastAsia"/>
                <w:sz w:val="24"/>
                <w:szCs w:val="24"/>
              </w:rPr>
              <w:t xml:space="preserve"> </w:t>
            </w:r>
            <w:r w:rsidRPr="00F72E4C">
              <w:rPr>
                <w:rFonts w:ascii="Times New Roman" w:hAnsi="Times New Roman" w:hint="eastAsia"/>
                <w:sz w:val="24"/>
                <w:szCs w:val="24"/>
              </w:rPr>
              <w:t>Age &gt;18 years old.</w:t>
            </w:r>
          </w:p>
          <w:p w14:paraId="3D860814"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(3).</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CHA2DS2-VASc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2.</w:t>
            </w:r>
          </w:p>
          <w:p w14:paraId="59F0C35A"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lastRenderedPageBreak/>
              <w:t>(4).</w:t>
            </w:r>
            <w:r w:rsidR="00BE1857">
              <w:rPr>
                <w:rFonts w:ascii="Times New Roman" w:hAnsi="Times New Roman" w:hint="eastAsia"/>
                <w:sz w:val="24"/>
                <w:szCs w:val="24"/>
              </w:rPr>
              <w:t xml:space="preserve"> </w:t>
            </w:r>
            <w:r w:rsidRPr="00F72E4C">
              <w:rPr>
                <w:rFonts w:ascii="Times New Roman" w:hAnsi="Times New Roman" w:hint="eastAsia"/>
                <w:sz w:val="24"/>
                <w:szCs w:val="24"/>
              </w:rPr>
              <w:t xml:space="preserve">HAS-BLED score </w:t>
            </w:r>
            <w:r w:rsidRPr="00F72E4C">
              <w:rPr>
                <w:rFonts w:ascii="TimesNewRomanPSMT" w:eastAsia="TimesNewRomanPSMT" w:hAnsi="TimesNewRomanPSMT" w:cs="TimesNewRomanPSMT"/>
                <w:color w:val="000000"/>
                <w:sz w:val="24"/>
                <w:szCs w:val="24"/>
              </w:rPr>
              <w:t>≥</w:t>
            </w:r>
            <w:r w:rsidRPr="00F72E4C">
              <w:rPr>
                <w:rFonts w:ascii="Times New Roman" w:hAnsi="Times New Roman" w:hint="eastAsia"/>
                <w:sz w:val="24"/>
                <w:szCs w:val="24"/>
              </w:rPr>
              <w:t>3 points, or still have embolism under long-term anticoagulation therapy, or radiofrequency ablation is considered to have poor therapeutic effect by team evaluation, and easy to relapse after operation.</w:t>
            </w:r>
          </w:p>
          <w:p w14:paraId="0483369B"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(5).</w:t>
            </w:r>
            <w:r w:rsidR="00BE1857">
              <w:rPr>
                <w:rFonts w:ascii="Times New Roman" w:hAnsi="Times New Roman" w:hint="eastAsia"/>
                <w:sz w:val="24"/>
                <w:szCs w:val="24"/>
              </w:rPr>
              <w:t xml:space="preserve"> </w:t>
            </w:r>
            <w:r w:rsidRPr="00F72E4C">
              <w:rPr>
                <w:rFonts w:ascii="Times New Roman" w:hAnsi="Times New Roman" w:hint="eastAsia"/>
                <w:sz w:val="24"/>
                <w:szCs w:val="24"/>
              </w:rPr>
              <w:t>Contraindications to warfarin use.</w:t>
            </w:r>
          </w:p>
        </w:tc>
        <w:tc>
          <w:tcPr>
            <w:tcW w:w="2127" w:type="dxa"/>
            <w:shd w:val="clear" w:color="auto" w:fill="auto"/>
            <w:vAlign w:val="center"/>
          </w:tcPr>
          <w:p w14:paraId="38D282CB" w14:textId="77777777" w:rsidR="00F72E4C" w:rsidRPr="00F72E4C" w:rsidRDefault="00F72E4C" w:rsidP="00A35D6C">
            <w:pPr>
              <w:jc w:val="left"/>
              <w:rPr>
                <w:rFonts w:ascii="Times New Roman" w:hAnsi="Times New Roman"/>
                <w:sz w:val="24"/>
                <w:szCs w:val="24"/>
              </w:rPr>
            </w:pPr>
            <w:bookmarkStart w:id="1" w:name="OLE_LINK1"/>
            <w:r w:rsidRPr="00F72E4C">
              <w:rPr>
                <w:rFonts w:ascii="Times New Roman" w:hAnsi="Times New Roman" w:hint="eastAsia"/>
                <w:sz w:val="24"/>
                <w:szCs w:val="24"/>
              </w:rPr>
              <w:lastRenderedPageBreak/>
              <w:t>The type of device was not specified</w:t>
            </w:r>
            <w:bookmarkEnd w:id="1"/>
          </w:p>
        </w:tc>
        <w:tc>
          <w:tcPr>
            <w:tcW w:w="2693" w:type="dxa"/>
            <w:shd w:val="clear" w:color="auto" w:fill="auto"/>
            <w:vAlign w:val="center"/>
          </w:tcPr>
          <w:p w14:paraId="7EF07F35" w14:textId="77777777" w:rsidR="00F72E4C" w:rsidRPr="00F72E4C" w:rsidRDefault="00F72E4C" w:rsidP="00A35D6C">
            <w:pPr>
              <w:jc w:val="left"/>
              <w:rPr>
                <w:rFonts w:ascii="Times New Roman" w:hAnsi="Times New Roman"/>
                <w:sz w:val="24"/>
                <w:szCs w:val="24"/>
              </w:rPr>
            </w:pPr>
            <w:proofErr w:type="spellStart"/>
            <w:r w:rsidRPr="00F72E4C">
              <w:rPr>
                <w:rFonts w:ascii="Times New Roman" w:hAnsi="Times New Roman" w:hint="eastAsia"/>
                <w:sz w:val="24"/>
                <w:szCs w:val="24"/>
              </w:rPr>
              <w:t>HeartR</w:t>
            </w:r>
            <w:proofErr w:type="spellEnd"/>
            <w:r w:rsidRPr="00F72E4C">
              <w:rPr>
                <w:rFonts w:ascii="Times New Roman" w:hAnsi="Times New Roman" w:hint="eastAsia"/>
                <w:sz w:val="24"/>
                <w:szCs w:val="24"/>
              </w:rPr>
              <w:t>™</w:t>
            </w:r>
            <w:r w:rsidRPr="00F72E4C">
              <w:rPr>
                <w:rFonts w:ascii="Times New Roman" w:hAnsi="Times New Roman" w:hint="eastAsia"/>
                <w:sz w:val="24"/>
                <w:szCs w:val="24"/>
              </w:rPr>
              <w:t xml:space="preserve"> device</w:t>
            </w:r>
          </w:p>
        </w:tc>
        <w:tc>
          <w:tcPr>
            <w:tcW w:w="5245" w:type="dxa"/>
            <w:shd w:val="clear" w:color="auto" w:fill="auto"/>
            <w:vAlign w:val="center"/>
          </w:tcPr>
          <w:p w14:paraId="6B4D0FCF"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Patients were given rivaroxaban till 3 months.</w:t>
            </w:r>
          </w:p>
          <w:p w14:paraId="06646646" w14:textId="77777777" w:rsidR="00F72E4C" w:rsidRPr="00F72E4C" w:rsidRDefault="00F72E4C" w:rsidP="00A35D6C">
            <w:pPr>
              <w:jc w:val="left"/>
              <w:rPr>
                <w:rFonts w:ascii="Times New Roman" w:hAnsi="Times New Roman"/>
                <w:sz w:val="24"/>
                <w:szCs w:val="24"/>
              </w:rPr>
            </w:pPr>
            <w:r w:rsidRPr="00F72E4C">
              <w:rPr>
                <w:rFonts w:ascii="Times New Roman" w:hAnsi="Times New Roman" w:hint="eastAsia"/>
                <w:sz w:val="24"/>
                <w:szCs w:val="24"/>
              </w:rPr>
              <w:t>Then the patient was switched to both aspirin and clopidogrel until 6 months and eventually aspirin alone.</w:t>
            </w:r>
          </w:p>
        </w:tc>
      </w:tr>
    </w:tbl>
    <w:p w14:paraId="20E6E714" w14:textId="77777777" w:rsidR="00F72E4C" w:rsidRPr="00F72E4C" w:rsidRDefault="00F72E4C">
      <w:pPr>
        <w:rPr>
          <w:rFonts w:ascii="Times New Roman" w:hAnsi="Times New Roman"/>
          <w:sz w:val="24"/>
          <w:szCs w:val="24"/>
        </w:rPr>
      </w:pPr>
    </w:p>
    <w:sectPr w:rsidR="00F72E4C" w:rsidRPr="00F72E4C" w:rsidSect="00155F96">
      <w:pgSz w:w="16838" w:h="11906" w:orient="landscape" w:code="9"/>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Y_MEDREF_DOCUID" w:val="{0B684881-1671-4356-B436-A5088A6E4B21}"/>
    <w:docVar w:name="KY_MEDREF_VERSION" w:val="3"/>
  </w:docVars>
  <w:rsids>
    <w:rsidRoot w:val="003A0644"/>
    <w:rsid w:val="00041C9F"/>
    <w:rsid w:val="000A6A9F"/>
    <w:rsid w:val="001529F0"/>
    <w:rsid w:val="00155F96"/>
    <w:rsid w:val="003A0644"/>
    <w:rsid w:val="00446260"/>
    <w:rsid w:val="00452317"/>
    <w:rsid w:val="004C61FA"/>
    <w:rsid w:val="004E451E"/>
    <w:rsid w:val="004F742A"/>
    <w:rsid w:val="005010A6"/>
    <w:rsid w:val="00566BB9"/>
    <w:rsid w:val="0064700A"/>
    <w:rsid w:val="006D79B7"/>
    <w:rsid w:val="00701D12"/>
    <w:rsid w:val="00717030"/>
    <w:rsid w:val="00795205"/>
    <w:rsid w:val="007A5E18"/>
    <w:rsid w:val="007F516E"/>
    <w:rsid w:val="008F609F"/>
    <w:rsid w:val="00923C94"/>
    <w:rsid w:val="00927F53"/>
    <w:rsid w:val="00956D60"/>
    <w:rsid w:val="009F6F26"/>
    <w:rsid w:val="00A04EB3"/>
    <w:rsid w:val="00A145D3"/>
    <w:rsid w:val="00A35D6C"/>
    <w:rsid w:val="00AA1896"/>
    <w:rsid w:val="00AB0A0C"/>
    <w:rsid w:val="00B03CA9"/>
    <w:rsid w:val="00B95287"/>
    <w:rsid w:val="00BB70B0"/>
    <w:rsid w:val="00BE1857"/>
    <w:rsid w:val="00BE624C"/>
    <w:rsid w:val="00BF2DAF"/>
    <w:rsid w:val="00C676AF"/>
    <w:rsid w:val="00C95BEE"/>
    <w:rsid w:val="00CE5785"/>
    <w:rsid w:val="00D0678E"/>
    <w:rsid w:val="00D45E9D"/>
    <w:rsid w:val="00D57320"/>
    <w:rsid w:val="00E0044C"/>
    <w:rsid w:val="00EF690A"/>
    <w:rsid w:val="00F10481"/>
    <w:rsid w:val="00F72E4C"/>
    <w:rsid w:val="00F94B48"/>
    <w:rsid w:val="06E11AE9"/>
    <w:rsid w:val="07FB400E"/>
    <w:rsid w:val="0B6E60B7"/>
    <w:rsid w:val="11CB6CDA"/>
    <w:rsid w:val="16BD1E5A"/>
    <w:rsid w:val="177B4CBC"/>
    <w:rsid w:val="19DC1A3F"/>
    <w:rsid w:val="2BE9395B"/>
    <w:rsid w:val="34D9254F"/>
    <w:rsid w:val="37A810B3"/>
    <w:rsid w:val="41B11BC0"/>
    <w:rsid w:val="45F1761C"/>
    <w:rsid w:val="4F076587"/>
    <w:rsid w:val="522E1AC3"/>
    <w:rsid w:val="57A361B9"/>
    <w:rsid w:val="58526AA1"/>
    <w:rsid w:val="63B35181"/>
    <w:rsid w:val="6C7A6DEC"/>
    <w:rsid w:val="75041948"/>
    <w:rsid w:val="766F3739"/>
    <w:rsid w:val="7C5F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2A85F"/>
  <w15:docId w15:val="{C843C362-8ADC-4DBD-8DFA-CD7383238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Pages>
  <Words>611</Words>
  <Characters>3483</Characters>
  <Application>Microsoft Office Word</Application>
  <DocSecurity>0</DocSecurity>
  <Lines>29</Lines>
  <Paragraphs>8</Paragraphs>
  <ScaleCrop>false</ScaleCrop>
  <Company/>
  <LinksUpToDate>false</LinksUpToDate>
  <CharactersWithSpaces>4086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997233414@qq.com</dc:creator>
  <cp:keywords/>
  <cp:lastModifiedBy>997233414@qq.com</cp:lastModifiedBy>
  <cp:revision>7</cp:revision>
  <dcterms:created xsi:type="dcterms:W3CDTF">2024-12-03T04:48:00Z</dcterms:created>
  <dcterms:modified xsi:type="dcterms:W3CDTF">2024-12-03T05:05:00Z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39313F6ACD2C4E6E940A97B3CAC1E64E_12</vt:lpwstr>
  </property>
</Properties>
</file>